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FE3242" w14:textId="77777777" w:rsidR="00D43AE9" w:rsidRDefault="00D43AE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FDAD994" w14:textId="77777777" w:rsidR="00D43AE9" w:rsidRDefault="00D43AE9">
      <w:pPr>
        <w:spacing w:after="160" w:line="259" w:lineRule="auto"/>
        <w:rPr>
          <w:rFonts w:ascii="Cambria" w:eastAsia="Cambria" w:hAnsi="Cambria" w:cs="Cambria"/>
          <w:b/>
          <w:sz w:val="40"/>
          <w:szCs w:val="40"/>
          <w:highlight w:val="white"/>
        </w:rPr>
      </w:pPr>
    </w:p>
    <w:p w14:paraId="19D9E72C" w14:textId="77777777" w:rsidR="00D43AE9" w:rsidRDefault="00EE4D07">
      <w:pPr>
        <w:spacing w:after="0" w:line="259" w:lineRule="auto"/>
        <w:jc w:val="center"/>
        <w:rPr>
          <w:rFonts w:ascii="Cambria" w:eastAsia="Cambria" w:hAnsi="Cambria" w:cs="Cambria"/>
          <w:b/>
          <w:color w:val="00589A"/>
          <w:sz w:val="40"/>
          <w:szCs w:val="40"/>
          <w:highlight w:val="white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b/>
          <w:color w:val="00589A"/>
          <w:sz w:val="40"/>
          <w:szCs w:val="40"/>
          <w:highlight w:val="white"/>
        </w:rPr>
        <w:t>II SYMPOZJUM</w:t>
      </w:r>
    </w:p>
    <w:p w14:paraId="578645BF" w14:textId="77777777" w:rsidR="00D43AE9" w:rsidRDefault="00EE4D07">
      <w:pPr>
        <w:spacing w:after="0" w:line="259" w:lineRule="auto"/>
        <w:jc w:val="center"/>
        <w:rPr>
          <w:rFonts w:ascii="Cambria" w:eastAsia="Cambria" w:hAnsi="Cambria" w:cs="Cambria"/>
          <w:b/>
          <w:color w:val="00589A"/>
          <w:sz w:val="40"/>
          <w:szCs w:val="40"/>
          <w:highlight w:val="white"/>
        </w:rPr>
      </w:pPr>
      <w:r>
        <w:rPr>
          <w:rFonts w:ascii="Cambria" w:eastAsia="Cambria" w:hAnsi="Cambria" w:cs="Cambria"/>
          <w:b/>
          <w:color w:val="00589A"/>
          <w:sz w:val="40"/>
          <w:szCs w:val="40"/>
          <w:highlight w:val="white"/>
        </w:rPr>
        <w:t>POLSKIEGO TOWARZYSTWA</w:t>
      </w:r>
    </w:p>
    <w:p w14:paraId="6DE3161B" w14:textId="77777777" w:rsidR="0085618E" w:rsidRDefault="00EE4D07">
      <w:pPr>
        <w:spacing w:after="0" w:line="259" w:lineRule="auto"/>
        <w:jc w:val="center"/>
        <w:rPr>
          <w:rFonts w:ascii="Cambria" w:eastAsia="Cambria" w:hAnsi="Cambria" w:cs="Cambria"/>
          <w:b/>
          <w:color w:val="00589A"/>
          <w:sz w:val="40"/>
          <w:szCs w:val="40"/>
          <w:highlight w:val="white"/>
        </w:rPr>
      </w:pPr>
      <w:r>
        <w:rPr>
          <w:rFonts w:ascii="Cambria" w:eastAsia="Cambria" w:hAnsi="Cambria" w:cs="Cambria"/>
          <w:b/>
          <w:color w:val="00589A"/>
          <w:sz w:val="40"/>
          <w:szCs w:val="40"/>
          <w:highlight w:val="white"/>
        </w:rPr>
        <w:t>FARMACJI KLINICZNEJ</w:t>
      </w:r>
      <w:r w:rsidR="0085618E">
        <w:rPr>
          <w:rFonts w:ascii="Cambria" w:eastAsia="Cambria" w:hAnsi="Cambria" w:cs="Cambria"/>
          <w:b/>
          <w:color w:val="00589A"/>
          <w:sz w:val="40"/>
          <w:szCs w:val="40"/>
          <w:highlight w:val="white"/>
        </w:rPr>
        <w:t xml:space="preserve"> I </w:t>
      </w:r>
    </w:p>
    <w:p w14:paraId="552E8428" w14:textId="5E43E633" w:rsidR="00D43AE9" w:rsidRDefault="0085618E">
      <w:pPr>
        <w:spacing w:after="0" w:line="259" w:lineRule="auto"/>
        <w:jc w:val="center"/>
        <w:rPr>
          <w:rFonts w:ascii="Cambria" w:eastAsia="Cambria" w:hAnsi="Cambria" w:cs="Cambria"/>
          <w:b/>
          <w:color w:val="00589A"/>
          <w:sz w:val="40"/>
          <w:szCs w:val="40"/>
          <w:highlight w:val="white"/>
        </w:rPr>
      </w:pPr>
      <w:r>
        <w:rPr>
          <w:rFonts w:ascii="Cambria" w:eastAsia="Cambria" w:hAnsi="Cambria" w:cs="Cambria"/>
          <w:b/>
          <w:color w:val="00589A"/>
          <w:sz w:val="40"/>
          <w:szCs w:val="40"/>
          <w:highlight w:val="white"/>
        </w:rPr>
        <w:t>52 SYMPOZJUM EUROPEJSKIEGO TOWARZYSTWA FARMACJI KLINICZNEJ</w:t>
      </w:r>
    </w:p>
    <w:p w14:paraId="7490CF37" w14:textId="77777777" w:rsidR="00D43AE9" w:rsidRDefault="00D43AE9">
      <w:pPr>
        <w:spacing w:after="0" w:line="259" w:lineRule="auto"/>
        <w:jc w:val="center"/>
        <w:rPr>
          <w:rFonts w:ascii="Cambria" w:eastAsia="Cambria" w:hAnsi="Cambria" w:cs="Cambria"/>
          <w:b/>
          <w:color w:val="00589A"/>
          <w:sz w:val="28"/>
          <w:szCs w:val="28"/>
          <w:highlight w:val="white"/>
        </w:rPr>
      </w:pPr>
    </w:p>
    <w:p w14:paraId="726A6544" w14:textId="77777777" w:rsidR="00D43AE9" w:rsidRDefault="00D43AE9">
      <w:pPr>
        <w:spacing w:after="160" w:line="259" w:lineRule="auto"/>
        <w:rPr>
          <w:rFonts w:ascii="Cambria" w:eastAsia="Cambria" w:hAnsi="Cambria" w:cs="Cambria"/>
          <w:b/>
          <w:color w:val="00589A"/>
          <w:sz w:val="28"/>
          <w:szCs w:val="28"/>
          <w:highlight w:val="white"/>
        </w:rPr>
      </w:pPr>
    </w:p>
    <w:p w14:paraId="76BBDE4E" w14:textId="1340E268" w:rsidR="00D43AE9" w:rsidRDefault="00EE4D07">
      <w:pPr>
        <w:spacing w:after="160" w:line="259" w:lineRule="auto"/>
        <w:jc w:val="center"/>
        <w:rPr>
          <w:rFonts w:ascii="Cambria" w:eastAsia="Cambria" w:hAnsi="Cambria" w:cs="Cambria"/>
          <w:b/>
          <w:color w:val="00589A"/>
          <w:sz w:val="28"/>
          <w:szCs w:val="28"/>
          <w:highlight w:val="white"/>
        </w:rPr>
      </w:pPr>
      <w:r>
        <w:rPr>
          <w:rFonts w:ascii="Cambria" w:eastAsia="Cambria" w:hAnsi="Cambria" w:cs="Cambria"/>
          <w:b/>
          <w:color w:val="00589A"/>
          <w:sz w:val="28"/>
          <w:szCs w:val="28"/>
          <w:highlight w:val="white"/>
        </w:rPr>
        <w:t>Przegląd lekowy jako jedna z usług farmacji klinicznej</w:t>
      </w:r>
    </w:p>
    <w:p w14:paraId="204C593D" w14:textId="77777777" w:rsidR="00D43AE9" w:rsidRDefault="00D43AE9">
      <w:pPr>
        <w:spacing w:after="0"/>
        <w:rPr>
          <w:rFonts w:ascii="Cambria" w:eastAsia="Cambria" w:hAnsi="Cambria" w:cs="Cambria"/>
          <w:b/>
          <w:color w:val="000000"/>
          <w:sz w:val="28"/>
          <w:szCs w:val="28"/>
        </w:rPr>
      </w:pPr>
    </w:p>
    <w:p w14:paraId="5FC2FC76" w14:textId="012760C5" w:rsidR="006149F4" w:rsidRDefault="00A55B09" w:rsidP="00A55B09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05913">
        <w:rPr>
          <w:rFonts w:asciiTheme="minorHAnsi" w:hAnsiTheme="minorHAnsi" w:cstheme="minorHAnsi"/>
          <w:sz w:val="24"/>
          <w:szCs w:val="24"/>
        </w:rPr>
        <w:t xml:space="preserve">W dniu </w:t>
      </w:r>
      <w:r w:rsidRPr="006149F4">
        <w:rPr>
          <w:rFonts w:asciiTheme="minorHAnsi" w:hAnsiTheme="minorHAnsi" w:cstheme="minorHAnsi"/>
          <w:b/>
          <w:bCs/>
          <w:sz w:val="24"/>
          <w:szCs w:val="24"/>
        </w:rPr>
        <w:t>20 października 2024 roku w Krakowie</w:t>
      </w:r>
      <w:r w:rsidRPr="00905913">
        <w:rPr>
          <w:rFonts w:asciiTheme="minorHAnsi" w:hAnsiTheme="minorHAnsi" w:cstheme="minorHAnsi"/>
          <w:sz w:val="24"/>
          <w:szCs w:val="24"/>
        </w:rPr>
        <w:t xml:space="preserve"> odbędzie się II Sympozjum Polskiego Towarzystwa Farmacji Klinicznej (PTFK). Tematem przewodnim wydarzenia będzie przegląd </w:t>
      </w:r>
      <w:r w:rsidR="006149F4" w:rsidRPr="00905913">
        <w:rPr>
          <w:rFonts w:asciiTheme="minorHAnsi" w:hAnsiTheme="minorHAnsi" w:cstheme="minorHAnsi"/>
          <w:sz w:val="24"/>
          <w:szCs w:val="24"/>
        </w:rPr>
        <w:t>lekowy</w:t>
      </w:r>
      <w:r w:rsidRPr="00905913">
        <w:rPr>
          <w:rFonts w:asciiTheme="minorHAnsi" w:hAnsiTheme="minorHAnsi" w:cstheme="minorHAnsi"/>
          <w:sz w:val="24"/>
          <w:szCs w:val="24"/>
        </w:rPr>
        <w:t xml:space="preserve"> jako jedna z kluczowych usług farmacji klinicznej realizowan</w:t>
      </w:r>
      <w:r w:rsidR="007D4055">
        <w:rPr>
          <w:rFonts w:asciiTheme="minorHAnsi" w:hAnsiTheme="minorHAnsi" w:cstheme="minorHAnsi"/>
          <w:sz w:val="24"/>
          <w:szCs w:val="24"/>
        </w:rPr>
        <w:t>ej</w:t>
      </w:r>
      <w:r w:rsidRPr="00905913">
        <w:rPr>
          <w:rFonts w:asciiTheme="minorHAnsi" w:hAnsiTheme="minorHAnsi" w:cstheme="minorHAnsi"/>
          <w:sz w:val="24"/>
          <w:szCs w:val="24"/>
        </w:rPr>
        <w:t xml:space="preserve"> zarówno w obszarze szpitalnym, jak i podstawowej opieki zdrowotnej. W programie Sympozjum przewidziano wykłady poświęcone przeglądowi lekowemu, a także warsztaty tematyczne pozwalające </w:t>
      </w:r>
      <w:r w:rsidR="007D4055">
        <w:rPr>
          <w:rFonts w:asciiTheme="minorHAnsi" w:hAnsiTheme="minorHAnsi" w:cstheme="minorHAnsi"/>
          <w:sz w:val="24"/>
          <w:szCs w:val="24"/>
        </w:rPr>
        <w:t xml:space="preserve">farmaceutom </w:t>
      </w:r>
      <w:r w:rsidRPr="00905913">
        <w:rPr>
          <w:rFonts w:asciiTheme="minorHAnsi" w:hAnsiTheme="minorHAnsi" w:cstheme="minorHAnsi"/>
          <w:sz w:val="24"/>
          <w:szCs w:val="24"/>
        </w:rPr>
        <w:t>doskonalić umiejętności praktyczne. Szczegółowe informacje znajdują się na stronie wydarzenia</w:t>
      </w:r>
      <w:r w:rsidR="00333916">
        <w:rPr>
          <w:rFonts w:asciiTheme="minorHAnsi" w:hAnsiTheme="minorHAnsi" w:cstheme="minorHAnsi"/>
          <w:sz w:val="24"/>
          <w:szCs w:val="24"/>
        </w:rPr>
        <w:t>:</w:t>
      </w:r>
      <w:r w:rsidRPr="00905913">
        <w:rPr>
          <w:rFonts w:asciiTheme="minorHAnsi" w:hAnsiTheme="minorHAnsi" w:cstheme="minorHAnsi"/>
          <w:sz w:val="24"/>
          <w:szCs w:val="24"/>
        </w:rPr>
        <w:t xml:space="preserve"> </w:t>
      </w:r>
      <w:hyperlink r:id="rId8" w:history="1">
        <w:r w:rsidR="006149F4" w:rsidRPr="00EA7515">
          <w:rPr>
            <w:rStyle w:val="Hipercze"/>
            <w:rFonts w:asciiTheme="minorHAnsi" w:hAnsiTheme="minorHAnsi" w:cstheme="minorHAnsi"/>
            <w:sz w:val="24"/>
            <w:szCs w:val="24"/>
          </w:rPr>
          <w:t>https://ptfk.symposium.pl/</w:t>
        </w:r>
      </w:hyperlink>
      <w:r w:rsidR="006149F4">
        <w:rPr>
          <w:rFonts w:asciiTheme="minorHAnsi" w:hAnsiTheme="minorHAnsi" w:cstheme="minorHAnsi"/>
          <w:sz w:val="24"/>
          <w:szCs w:val="24"/>
        </w:rPr>
        <w:t>.</w:t>
      </w:r>
    </w:p>
    <w:p w14:paraId="70A36ECE" w14:textId="6F448059" w:rsidR="00A55B09" w:rsidRDefault="00A55B09" w:rsidP="00A55B09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05913">
        <w:rPr>
          <w:rFonts w:asciiTheme="minorHAnsi" w:hAnsiTheme="minorHAnsi" w:cstheme="minorHAnsi"/>
          <w:sz w:val="24"/>
          <w:szCs w:val="24"/>
        </w:rPr>
        <w:t xml:space="preserve">Sympozjum będzie okazją do spotkania i wymiany doświadczeń osób zainteresowanych rozwojem usług farmacji klinicznej oraz inspiracją dla wprowadzania dalszych innowacji w obszarze optymalizacji farmakoterapii w Polsce. Uczestnicy konferencji otrzymają 4 </w:t>
      </w:r>
      <w:r w:rsidR="0019195E" w:rsidRPr="00905913">
        <w:rPr>
          <w:rFonts w:asciiTheme="minorHAnsi" w:hAnsiTheme="minorHAnsi" w:cstheme="minorHAnsi"/>
          <w:sz w:val="24"/>
          <w:szCs w:val="24"/>
        </w:rPr>
        <w:t>punkty edukacyjne</w:t>
      </w:r>
      <w:r w:rsidRPr="00905913">
        <w:rPr>
          <w:rFonts w:asciiTheme="minorHAnsi" w:hAnsiTheme="minorHAnsi" w:cstheme="minorHAnsi"/>
          <w:sz w:val="24"/>
          <w:szCs w:val="24"/>
        </w:rPr>
        <w:t xml:space="preserve">. </w:t>
      </w:r>
      <w:r w:rsidR="00A953E3">
        <w:rPr>
          <w:rFonts w:asciiTheme="minorHAnsi" w:hAnsiTheme="minorHAnsi" w:cstheme="minorHAnsi"/>
          <w:sz w:val="24"/>
          <w:szCs w:val="24"/>
        </w:rPr>
        <w:t>Rejestracja już wkrótce!</w:t>
      </w:r>
    </w:p>
    <w:p w14:paraId="7F3CDEBD" w14:textId="77777777" w:rsidR="00A953E3" w:rsidRPr="00A953E3" w:rsidRDefault="00A953E3" w:rsidP="00A953E3">
      <w:pPr>
        <w:tabs>
          <w:tab w:val="left" w:pos="3960"/>
        </w:tabs>
        <w:spacing w:after="0"/>
        <w:rPr>
          <w:rFonts w:ascii="Cambria" w:eastAsia="Cambria" w:hAnsi="Cambria" w:cs="Cambria"/>
          <w:bCs/>
          <w:sz w:val="24"/>
          <w:szCs w:val="24"/>
        </w:rPr>
      </w:pPr>
      <w:r w:rsidRPr="00A953E3">
        <w:rPr>
          <w:rFonts w:ascii="Cambria" w:eastAsia="Cambria" w:hAnsi="Cambria" w:cs="Cambria"/>
          <w:bCs/>
          <w:sz w:val="24"/>
          <w:szCs w:val="24"/>
        </w:rPr>
        <w:t>https://ptfk.pl/</w:t>
      </w:r>
    </w:p>
    <w:p w14:paraId="153DCF0D" w14:textId="07FCB7E7" w:rsidR="00A953E3" w:rsidRDefault="00A953E3" w:rsidP="00A953E3">
      <w:pPr>
        <w:tabs>
          <w:tab w:val="left" w:pos="3960"/>
        </w:tabs>
        <w:spacing w:after="0"/>
        <w:rPr>
          <w:rFonts w:ascii="Cambria" w:eastAsia="Cambria" w:hAnsi="Cambria" w:cs="Cambria"/>
          <w:bCs/>
          <w:sz w:val="24"/>
          <w:szCs w:val="24"/>
        </w:rPr>
      </w:pPr>
      <w:r w:rsidRPr="00A953E3">
        <w:rPr>
          <w:rFonts w:ascii="Cambria" w:eastAsia="Cambria" w:hAnsi="Cambria" w:cs="Cambria"/>
          <w:bCs/>
          <w:sz w:val="24"/>
          <w:szCs w:val="24"/>
        </w:rPr>
        <w:t>Facebook i LinkedIn: Polskie Towarzystwo Farmacji Klinicznej</w:t>
      </w:r>
    </w:p>
    <w:p w14:paraId="63C4C5C2" w14:textId="77777777" w:rsidR="00A953E3" w:rsidRPr="00A953E3" w:rsidRDefault="00A953E3" w:rsidP="00A953E3">
      <w:pPr>
        <w:tabs>
          <w:tab w:val="left" w:pos="3960"/>
        </w:tabs>
        <w:spacing w:after="0"/>
        <w:rPr>
          <w:rFonts w:ascii="Cambria" w:eastAsia="Cambria" w:hAnsi="Cambria" w:cs="Cambria"/>
          <w:bCs/>
          <w:sz w:val="24"/>
          <w:szCs w:val="24"/>
        </w:rPr>
      </w:pPr>
    </w:p>
    <w:p w14:paraId="4D1E6E77" w14:textId="7FB303E2" w:rsidR="0085618E" w:rsidRPr="005566A9" w:rsidRDefault="005566A9" w:rsidP="0085618E">
      <w:pPr>
        <w:spacing w:after="160" w:line="259" w:lineRule="auto"/>
        <w:jc w:val="center"/>
        <w:rPr>
          <w:rFonts w:ascii="Cambria" w:eastAsia="Cambria" w:hAnsi="Cambria" w:cs="Cambria"/>
          <w:b/>
          <w:color w:val="00589A"/>
          <w:sz w:val="28"/>
          <w:szCs w:val="28"/>
          <w:highlight w:val="white"/>
          <w:lang w:val="en-US"/>
        </w:rPr>
      </w:pPr>
      <w:r w:rsidRPr="005566A9">
        <w:rPr>
          <w:rFonts w:ascii="Cambria" w:eastAsia="Cambria" w:hAnsi="Cambria" w:cs="Cambria"/>
          <w:b/>
          <w:color w:val="00589A"/>
          <w:sz w:val="28"/>
          <w:szCs w:val="28"/>
          <w:lang w:val="en-US"/>
        </w:rPr>
        <w:t>Implementing and scaling sustainable Clinical Pharmacy</w:t>
      </w:r>
    </w:p>
    <w:p w14:paraId="48DEB62B" w14:textId="70BFCE42" w:rsidR="00A55B09" w:rsidRDefault="007D4055" w:rsidP="00A55B09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II </w:t>
      </w:r>
      <w:r w:rsidR="00A55B09" w:rsidRPr="00905913">
        <w:rPr>
          <w:rFonts w:asciiTheme="minorHAnsi" w:hAnsiTheme="minorHAnsi" w:cstheme="minorHAnsi"/>
          <w:sz w:val="24"/>
          <w:szCs w:val="24"/>
        </w:rPr>
        <w:t xml:space="preserve">Sympozjum PTFK będzie towarzyszyło </w:t>
      </w:r>
      <w:r w:rsidR="00A55B09" w:rsidRPr="00A76C15">
        <w:rPr>
          <w:rFonts w:asciiTheme="minorHAnsi" w:hAnsiTheme="minorHAnsi" w:cstheme="minorHAnsi"/>
          <w:b/>
          <w:bCs/>
          <w:sz w:val="24"/>
          <w:szCs w:val="24"/>
        </w:rPr>
        <w:t xml:space="preserve">52. Sympozjum Europejskiego Towarzystwa Farmacji Klinicznej </w:t>
      </w:r>
      <w:r w:rsidR="00A55B09" w:rsidRPr="00A76C15">
        <w:rPr>
          <w:rFonts w:asciiTheme="minorHAnsi" w:hAnsiTheme="minorHAnsi" w:cstheme="minorHAnsi"/>
          <w:b/>
          <w:bCs/>
          <w:i/>
          <w:iCs/>
          <w:sz w:val="24"/>
          <w:szCs w:val="24"/>
        </w:rPr>
        <w:t>(ESCP – European Society of Clinical Pharmacy)</w:t>
      </w:r>
      <w:r w:rsidR="00F9535C" w:rsidRPr="00A76C15">
        <w:rPr>
          <w:rFonts w:asciiTheme="minorHAnsi" w:hAnsiTheme="minorHAnsi" w:cstheme="minorHAnsi"/>
          <w:b/>
          <w:bCs/>
          <w:sz w:val="24"/>
          <w:szCs w:val="24"/>
        </w:rPr>
        <w:t>, które odbywa się w dniach 21 – 23 października 2024</w:t>
      </w:r>
      <w:r w:rsidR="00CD76FC" w:rsidRPr="00A76C15">
        <w:rPr>
          <w:rFonts w:asciiTheme="minorHAnsi" w:hAnsiTheme="minorHAnsi" w:cstheme="minorHAnsi"/>
          <w:b/>
          <w:bCs/>
          <w:sz w:val="24"/>
          <w:szCs w:val="24"/>
        </w:rPr>
        <w:t>, również w Krakowie</w:t>
      </w:r>
      <w:r w:rsidR="006353D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6353D5" w:rsidRPr="006149F4">
        <w:rPr>
          <w:rFonts w:asciiTheme="minorHAnsi" w:hAnsiTheme="minorHAnsi" w:cstheme="minorHAnsi"/>
          <w:sz w:val="24"/>
          <w:szCs w:val="24"/>
        </w:rPr>
        <w:t>(</w:t>
      </w:r>
      <w:r w:rsidR="006149F4" w:rsidRPr="006149F4">
        <w:rPr>
          <w:rFonts w:asciiTheme="minorHAnsi" w:hAnsiTheme="minorHAnsi" w:cstheme="minorHAnsi"/>
          <w:sz w:val="24"/>
          <w:szCs w:val="24"/>
        </w:rPr>
        <w:t>DoubleTree by Hilton)</w:t>
      </w:r>
      <w:r w:rsidR="00CD76FC">
        <w:rPr>
          <w:rFonts w:asciiTheme="minorHAnsi" w:hAnsiTheme="minorHAnsi" w:cstheme="minorHAnsi"/>
          <w:sz w:val="24"/>
          <w:szCs w:val="24"/>
        </w:rPr>
        <w:t xml:space="preserve">! </w:t>
      </w:r>
      <w:r w:rsidR="00FF57BA">
        <w:rPr>
          <w:rFonts w:asciiTheme="minorHAnsi" w:hAnsiTheme="minorHAnsi" w:cstheme="minorHAnsi"/>
          <w:sz w:val="24"/>
          <w:szCs w:val="24"/>
        </w:rPr>
        <w:t xml:space="preserve">Ponadto 20 października </w:t>
      </w:r>
      <w:r w:rsidR="00372A8D">
        <w:rPr>
          <w:rFonts w:asciiTheme="minorHAnsi" w:hAnsiTheme="minorHAnsi" w:cstheme="minorHAnsi"/>
          <w:sz w:val="24"/>
          <w:szCs w:val="24"/>
        </w:rPr>
        <w:t xml:space="preserve">będzie można wziąć udział w specjalnym </w:t>
      </w:r>
      <w:r w:rsidR="00372A8D" w:rsidRPr="006149F4">
        <w:rPr>
          <w:rFonts w:asciiTheme="minorHAnsi" w:hAnsiTheme="minorHAnsi" w:cstheme="minorHAnsi"/>
          <w:b/>
          <w:bCs/>
          <w:sz w:val="24"/>
          <w:szCs w:val="24"/>
        </w:rPr>
        <w:t xml:space="preserve">Masterclass </w:t>
      </w:r>
      <w:r w:rsidR="00D23EBD" w:rsidRPr="006149F4">
        <w:rPr>
          <w:rFonts w:asciiTheme="minorHAnsi" w:hAnsiTheme="minorHAnsi" w:cstheme="minorHAnsi"/>
          <w:b/>
          <w:bCs/>
          <w:sz w:val="24"/>
          <w:szCs w:val="24"/>
        </w:rPr>
        <w:t xml:space="preserve">pt. „Getting started with </w:t>
      </w:r>
      <w:r w:rsidR="00D23EBD" w:rsidRPr="006149F4">
        <w:rPr>
          <w:rFonts w:asciiTheme="minorHAnsi" w:hAnsiTheme="minorHAnsi" w:cstheme="minorHAnsi"/>
          <w:b/>
          <w:bCs/>
          <w:sz w:val="24"/>
          <w:szCs w:val="24"/>
        </w:rPr>
        <w:lastRenderedPageBreak/>
        <w:t>Implementation Science in Clinical Pharmacy”</w:t>
      </w:r>
      <w:r w:rsidR="00D23EBD">
        <w:rPr>
          <w:rFonts w:asciiTheme="minorHAnsi" w:hAnsiTheme="minorHAnsi" w:cstheme="minorHAnsi"/>
          <w:sz w:val="24"/>
          <w:szCs w:val="24"/>
        </w:rPr>
        <w:t xml:space="preserve">. </w:t>
      </w:r>
      <w:r w:rsidR="00A55B09" w:rsidRPr="00905913">
        <w:rPr>
          <w:rFonts w:asciiTheme="minorHAnsi" w:hAnsiTheme="minorHAnsi" w:cstheme="minorHAnsi"/>
          <w:sz w:val="24"/>
          <w:szCs w:val="24"/>
        </w:rPr>
        <w:t>Szczegółowe informacje na</w:t>
      </w:r>
      <w:r w:rsidR="00A55B09">
        <w:rPr>
          <w:rFonts w:asciiTheme="minorHAnsi" w:hAnsiTheme="minorHAnsi" w:cstheme="minorHAnsi"/>
          <w:sz w:val="24"/>
          <w:szCs w:val="24"/>
        </w:rPr>
        <w:t xml:space="preserve"> </w:t>
      </w:r>
      <w:r w:rsidR="00A55B09" w:rsidRPr="00905913">
        <w:rPr>
          <w:rFonts w:asciiTheme="minorHAnsi" w:hAnsiTheme="minorHAnsi" w:cstheme="minorHAnsi"/>
          <w:sz w:val="24"/>
          <w:szCs w:val="24"/>
        </w:rPr>
        <w:t xml:space="preserve">temat Sympozjum ESCP </w:t>
      </w:r>
      <w:r w:rsidR="00A55B09">
        <w:rPr>
          <w:rFonts w:asciiTheme="minorHAnsi" w:hAnsiTheme="minorHAnsi" w:cstheme="minorHAnsi"/>
          <w:sz w:val="24"/>
          <w:szCs w:val="24"/>
        </w:rPr>
        <w:t>dostępne</w:t>
      </w:r>
      <w:r w:rsidR="00A55B09" w:rsidRPr="00905913">
        <w:rPr>
          <w:rFonts w:asciiTheme="minorHAnsi" w:hAnsiTheme="minorHAnsi" w:cstheme="minorHAnsi"/>
          <w:sz w:val="24"/>
          <w:szCs w:val="24"/>
        </w:rPr>
        <w:t xml:space="preserve"> na stronie </w:t>
      </w:r>
      <w:hyperlink r:id="rId9" w:history="1">
        <w:r w:rsidR="00A55B09" w:rsidRPr="00A953E3">
          <w:rPr>
            <w:rStyle w:val="Hipercze"/>
            <w:rFonts w:asciiTheme="minorHAnsi" w:hAnsiTheme="minorHAnsi" w:cstheme="minorHAnsi"/>
            <w:sz w:val="24"/>
            <w:szCs w:val="24"/>
          </w:rPr>
          <w:t>https://escpweb.org/escp_events/escp-krakow-symposium-2024/</w:t>
        </w:r>
      </w:hyperlink>
      <w:r w:rsidR="00A55B09" w:rsidRPr="00A953E3">
        <w:rPr>
          <w:rFonts w:asciiTheme="minorHAnsi" w:hAnsiTheme="minorHAnsi" w:cstheme="minorHAnsi"/>
          <w:sz w:val="24"/>
          <w:szCs w:val="24"/>
        </w:rPr>
        <w:t>.</w:t>
      </w:r>
      <w:r w:rsidR="00CF5561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CF5561">
        <w:rPr>
          <w:rFonts w:asciiTheme="minorHAnsi" w:hAnsiTheme="minorHAnsi" w:cstheme="minorHAnsi"/>
          <w:sz w:val="24"/>
          <w:szCs w:val="24"/>
        </w:rPr>
        <w:t>Zapraszamy do przesy</w:t>
      </w:r>
      <w:r w:rsidR="00763D81">
        <w:rPr>
          <w:rFonts w:asciiTheme="minorHAnsi" w:hAnsiTheme="minorHAnsi" w:cstheme="minorHAnsi"/>
          <w:sz w:val="24"/>
          <w:szCs w:val="24"/>
        </w:rPr>
        <w:t xml:space="preserve">łania </w:t>
      </w:r>
      <w:r w:rsidR="0019195E">
        <w:rPr>
          <w:rFonts w:asciiTheme="minorHAnsi" w:hAnsiTheme="minorHAnsi" w:cstheme="minorHAnsi"/>
          <w:sz w:val="24"/>
          <w:szCs w:val="24"/>
        </w:rPr>
        <w:t>abstraktów – termin zostanie wydłużony do 31 maja!</w:t>
      </w:r>
    </w:p>
    <w:p w14:paraId="411C1823" w14:textId="56DD05D9" w:rsidR="00D43AE9" w:rsidRPr="003B7E2E" w:rsidRDefault="0019195E" w:rsidP="003B7E2E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Rejestracja rozpoczyna się 13 maja</w:t>
      </w:r>
      <w:r w:rsidR="00964DEC">
        <w:rPr>
          <w:rFonts w:asciiTheme="minorHAnsi" w:hAnsiTheme="minorHAnsi" w:cstheme="minorHAnsi"/>
          <w:sz w:val="24"/>
          <w:szCs w:val="24"/>
        </w:rPr>
        <w:t xml:space="preserve">. Członkowie PTFK mogą uzyskać zniżkę na członkostwo w ESCP i w ten sposób również niższą opłatę rejestracyjną. </w:t>
      </w:r>
      <w:r w:rsidR="0056346E">
        <w:rPr>
          <w:rFonts w:asciiTheme="minorHAnsi" w:hAnsiTheme="minorHAnsi" w:cstheme="minorHAnsi"/>
          <w:sz w:val="24"/>
          <w:szCs w:val="24"/>
        </w:rPr>
        <w:t xml:space="preserve">Osoby przynależące do PTFK, które przedłożą potwierdzenie opłaty </w:t>
      </w:r>
      <w:r w:rsidR="005D0C53">
        <w:rPr>
          <w:rFonts w:asciiTheme="minorHAnsi" w:hAnsiTheme="minorHAnsi" w:cstheme="minorHAnsi"/>
          <w:sz w:val="24"/>
          <w:szCs w:val="24"/>
        </w:rPr>
        <w:t>udziału w Sympozjum ESCP otrzymają darmowy wstęp na II Sympozjum PTFK!</w:t>
      </w:r>
    </w:p>
    <w:p w14:paraId="6DD6BBB9" w14:textId="77777777" w:rsidR="00D43AE9" w:rsidRDefault="00D43AE9">
      <w:pPr>
        <w:tabs>
          <w:tab w:val="left" w:pos="3960"/>
        </w:tabs>
        <w:spacing w:after="0"/>
        <w:rPr>
          <w:rFonts w:ascii="Cambria" w:eastAsia="Cambria" w:hAnsi="Cambria" w:cs="Cambria"/>
          <w:b/>
          <w:sz w:val="28"/>
          <w:szCs w:val="28"/>
        </w:rPr>
      </w:pPr>
    </w:p>
    <w:sectPr w:rsidR="00D43AE9">
      <w:headerReference w:type="even" r:id="rId10"/>
      <w:headerReference w:type="default" r:id="rId11"/>
      <w:headerReference w:type="first" r:id="rId12"/>
      <w:type w:val="continuous"/>
      <w:pgSz w:w="11900" w:h="1682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5A2338" w14:textId="77777777" w:rsidR="004778A6" w:rsidRDefault="004778A6">
      <w:pPr>
        <w:spacing w:after="0" w:line="240" w:lineRule="auto"/>
      </w:pPr>
      <w:r>
        <w:separator/>
      </w:r>
    </w:p>
  </w:endnote>
  <w:endnote w:type="continuationSeparator" w:id="0">
    <w:p w14:paraId="7DEEB776" w14:textId="77777777" w:rsidR="004778A6" w:rsidRDefault="00477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Aptos Display"/>
    <w:charset w:val="00"/>
    <w:family w:val="auto"/>
    <w:pitch w:val="default"/>
    <w:embedRegular r:id="rId1" w:fontKey="{7D33D2D4-8E46-46B0-8389-073CBDE418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75041CC-E3E2-4603-90B6-6EFD8D9EAD45}"/>
    <w:embedBold r:id="rId3" w:fontKey="{ABCEB957-C0E6-4918-AAA4-B187B5888E1E}"/>
    <w:embedItalic r:id="rId4" w:fontKey="{862768D3-2168-49C2-990F-1477CEB769AF}"/>
    <w:embedBoldItalic r:id="rId5" w:fontKey="{B2FE806C-8CD4-48AC-AAF0-ED6CCD48F7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19979D9C-8752-4630-9C5E-FB7A94B8F4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373D8B5-055C-48F8-90CA-B22C5A8C990B}"/>
    <w:embedItalic r:id="rId8" w:fontKey="{375E6745-143D-4267-B7EB-CF18C4EE61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48CAB56-0656-423B-9ED9-04D6C05AF0BD}"/>
    <w:embedBold r:id="rId10" w:fontKey="{F53E212E-D08B-4090-A624-E70A8626C9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5E603B" w14:textId="77777777" w:rsidR="004778A6" w:rsidRDefault="004778A6">
      <w:pPr>
        <w:spacing w:after="0" w:line="240" w:lineRule="auto"/>
      </w:pPr>
      <w:r>
        <w:separator/>
      </w:r>
    </w:p>
  </w:footnote>
  <w:footnote w:type="continuationSeparator" w:id="0">
    <w:p w14:paraId="360F66E5" w14:textId="77777777" w:rsidR="004778A6" w:rsidRDefault="00477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8F4EA1" w14:textId="77777777" w:rsidR="00D43AE9" w:rsidRDefault="00EE4D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7100F0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96.15pt;height:841.9pt;z-index:-251657728;mso-position-horizontal:center;mso-position-horizontal-relative:margin;mso-position-vertical:center;mso-position-vertical-relative:margin">
          <v:imagedata r:id="rId1" o:title="image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DA08A" w14:textId="77777777" w:rsidR="00D43AE9" w:rsidRDefault="00EE4D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4C13B0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6.15pt;height:841.9pt;z-index:-251659776;mso-position-horizontal:center;mso-position-horizontal-relative:margin;mso-position-vertical:center;mso-position-vertical-relative:margin">
          <v:imagedata r:id="rId1" o:title="image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2ADFB" w14:textId="77777777" w:rsidR="00D43AE9" w:rsidRDefault="00EE4D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2A54E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6.15pt;height:841.9pt;z-index:-251658752;mso-position-horizontal:center;mso-position-horizontal-relative:margin;mso-position-vertical:center;mso-position-vertical-relative:margin">
          <v:imagedata r:id="rId1" o:title="image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7BE"/>
    <w:multiLevelType w:val="multilevel"/>
    <w:tmpl w:val="C60C42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B71EB0"/>
    <w:multiLevelType w:val="multilevel"/>
    <w:tmpl w:val="1FE860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2DD544E"/>
    <w:multiLevelType w:val="multilevel"/>
    <w:tmpl w:val="0D18B2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92322498">
    <w:abstractNumId w:val="0"/>
  </w:num>
  <w:num w:numId="2" w16cid:durableId="1022897422">
    <w:abstractNumId w:val="2"/>
  </w:num>
  <w:num w:numId="3" w16cid:durableId="10739397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AE9"/>
    <w:rsid w:val="000B1978"/>
    <w:rsid w:val="0019195E"/>
    <w:rsid w:val="00333916"/>
    <w:rsid w:val="00372A8D"/>
    <w:rsid w:val="003B7E2E"/>
    <w:rsid w:val="004778A6"/>
    <w:rsid w:val="004E3BD4"/>
    <w:rsid w:val="005566A9"/>
    <w:rsid w:val="0056346E"/>
    <w:rsid w:val="005D0C53"/>
    <w:rsid w:val="006149F4"/>
    <w:rsid w:val="006353D5"/>
    <w:rsid w:val="007001EF"/>
    <w:rsid w:val="00763D81"/>
    <w:rsid w:val="007D4055"/>
    <w:rsid w:val="0085618E"/>
    <w:rsid w:val="00964DEC"/>
    <w:rsid w:val="00A55B09"/>
    <w:rsid w:val="00A76C15"/>
    <w:rsid w:val="00A953E3"/>
    <w:rsid w:val="00AF66AB"/>
    <w:rsid w:val="00B570BD"/>
    <w:rsid w:val="00CD76FC"/>
    <w:rsid w:val="00CF5561"/>
    <w:rsid w:val="00D23EBD"/>
    <w:rsid w:val="00D43AE9"/>
    <w:rsid w:val="00D71E11"/>
    <w:rsid w:val="00EE4D07"/>
    <w:rsid w:val="00F9535C"/>
    <w:rsid w:val="00FF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2601E4"/>
  <w15:docId w15:val="{80AD5EF1-FC28-48C9-87FA-3613518B2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2F7B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617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72B2"/>
  </w:style>
  <w:style w:type="paragraph" w:styleId="Stopka">
    <w:name w:val="footer"/>
    <w:basedOn w:val="Normalny"/>
    <w:link w:val="StopkaZnak"/>
    <w:uiPriority w:val="99"/>
    <w:unhideWhenUsed/>
    <w:rsid w:val="00617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72B2"/>
  </w:style>
  <w:style w:type="character" w:styleId="Odwoaniedokomentarza">
    <w:name w:val="annotation reference"/>
    <w:basedOn w:val="Domylnaczcionkaakapitu"/>
    <w:uiPriority w:val="99"/>
    <w:semiHidden/>
    <w:unhideWhenUsed/>
    <w:rsid w:val="00472D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72DC1"/>
    <w:pPr>
      <w:widowControl w:val="0"/>
      <w:spacing w:after="120" w:line="240" w:lineRule="auto"/>
    </w:pPr>
    <w:rPr>
      <w:rFonts w:ascii="Trebuchet MS" w:eastAsia="Trebuchet MS" w:hAnsi="Trebuchet MS" w:cs="Trebuchet MS"/>
      <w:sz w:val="20"/>
      <w:szCs w:val="20"/>
      <w:lang w:eastAsia="en-GB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72DC1"/>
    <w:rPr>
      <w:rFonts w:ascii="Trebuchet MS" w:eastAsia="Trebuchet MS" w:hAnsi="Trebuchet MS" w:cs="Trebuchet MS"/>
      <w:sz w:val="20"/>
      <w:szCs w:val="20"/>
      <w:lang w:eastAsia="en-GB"/>
    </w:rPr>
  </w:style>
  <w:style w:type="paragraph" w:styleId="Akapitzlist">
    <w:name w:val="List Paragraph"/>
    <w:basedOn w:val="Normalny"/>
    <w:uiPriority w:val="34"/>
    <w:qFormat/>
    <w:rsid w:val="00472DC1"/>
    <w:pPr>
      <w:widowControl w:val="0"/>
      <w:spacing w:after="120" w:line="240" w:lineRule="auto"/>
      <w:ind w:left="720"/>
      <w:contextualSpacing/>
    </w:pPr>
    <w:rPr>
      <w:rFonts w:ascii="Trebuchet MS" w:eastAsia="Trebuchet MS" w:hAnsi="Trebuchet MS" w:cs="Trebuchet MS"/>
      <w:sz w:val="20"/>
      <w:szCs w:val="20"/>
      <w:lang w:eastAsia="en-GB"/>
    </w:rPr>
  </w:style>
  <w:style w:type="character" w:styleId="Hipercze">
    <w:name w:val="Hyperlink"/>
    <w:basedOn w:val="Domylnaczcionkaakapitu"/>
    <w:uiPriority w:val="99"/>
    <w:unhideWhenUsed/>
    <w:rsid w:val="00472DC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4D1C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0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fk.symposium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scpweb.org/escp_events/escp-krakow-symposium-2024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4Pkn9RHsmAvh9vPgIPhmzfUuQg==">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247</Words>
  <Characters>1911</Characters>
  <Application>Microsoft Office Word</Application>
  <DocSecurity>0</DocSecurity>
  <Lines>39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Kamila Urbańczyk</cp:lastModifiedBy>
  <cp:revision>23</cp:revision>
  <dcterms:created xsi:type="dcterms:W3CDTF">2024-04-17T19:26:00Z</dcterms:created>
  <dcterms:modified xsi:type="dcterms:W3CDTF">2024-04-28T10:43:00Z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d97d3ad66686a8f79a460ea4ae066dcd24a836e137719de0c07d5c15fdbb49ae</vt:lpwstr>
  </property>
</Properties>
</file>